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ind w:left="-993" w:hanging="0"/>
        <w:rPr>
          <w:rFonts w:ascii="Calibri" w:hAnsi="Calibri" w:cs="Verdana"/>
          <w:b/>
          <w:b/>
          <w:bCs/>
          <w:color w:val="000000"/>
          <w:sz w:val="32"/>
          <w:szCs w:val="32"/>
        </w:rPr>
      </w:pPr>
      <w:r>
        <w:rPr>
          <w:rFonts w:cs="Verdana" w:ascii="Calibri" w:hAnsi="Calibri"/>
          <w:b/>
          <w:bCs/>
          <w:color w:val="000000"/>
          <w:sz w:val="32"/>
          <w:szCs w:val="32"/>
        </w:rPr>
        <w:t>Université d’Orléans</w:t>
      </w:r>
    </w:p>
    <w:p>
      <w:pPr>
        <w:pStyle w:val="Normal"/>
        <w:widowControl w:val="false"/>
        <w:ind w:left="-993" w:hanging="0"/>
        <w:rPr>
          <w:rFonts w:ascii="Trebuchet MS" w:hAnsi="Trebuchet MS" w:cs="Verdana"/>
          <w:b/>
          <w:b/>
          <w:bCs/>
          <w:color w:val="000000"/>
          <w:szCs w:val="24"/>
        </w:rPr>
      </w:pPr>
      <w:r>
        <w:rPr>
          <w:rFonts w:cs="Verdana" w:ascii="Trebuchet MS" w:hAnsi="Trebuchet MS"/>
          <w:b/>
          <w:bCs/>
          <w:color w:val="000000"/>
          <w:szCs w:val="24"/>
        </w:rPr>
      </w:r>
    </w:p>
    <w:p>
      <w:pPr>
        <w:pStyle w:val="Normal"/>
        <w:widowControl w:val="false"/>
        <w:numPr>
          <w:ilvl w:val="0"/>
          <w:numId w:val="0"/>
        </w:numPr>
        <w:outlineLvl w:val="0"/>
        <w:rPr>
          <w:rFonts w:ascii="Calibri" w:hAnsi="Calibri" w:cs="Arial"/>
          <w:bCs/>
          <w:color w:val="0070C0"/>
          <w:szCs w:val="24"/>
        </w:rPr>
      </w:pPr>
      <w:r>
        <w:rPr>
          <w:rFonts w:cs="Arial" w:ascii="Calibri" w:hAnsi="Calibri"/>
          <w:bCs/>
          <w:color w:val="000000"/>
          <w:szCs w:val="24"/>
        </w:rPr>
        <w:t xml:space="preserve">Nature du Poste: </w:t>
      </w:r>
      <w:r>
        <w:rPr>
          <w:rFonts w:cs="Arial" w:ascii="Calibri" w:hAnsi="Calibri"/>
          <w:b/>
          <w:bCs/>
          <w:color w:val="0070C0"/>
          <w:szCs w:val="24"/>
        </w:rPr>
        <w:t>Maître de conférences</w:t>
      </w:r>
      <w:r>
        <w:rPr>
          <w:rFonts w:cs="Arial" w:ascii="Calibri" w:hAnsi="Calibri"/>
          <w:bCs/>
          <w:color w:val="0070C0"/>
          <w:szCs w:val="24"/>
        </w:rPr>
        <w:t xml:space="preserve">   </w:t>
      </w:r>
    </w:p>
    <w:p>
      <w:pPr>
        <w:pStyle w:val="Normal"/>
        <w:widowControl w:val="false"/>
        <w:numPr>
          <w:ilvl w:val="0"/>
          <w:numId w:val="0"/>
        </w:numPr>
        <w:outlineLvl w:val="0"/>
        <w:rPr>
          <w:rFonts w:ascii="Calibri" w:hAnsi="Calibri" w:cs="Arial"/>
          <w:b/>
          <w:b/>
          <w:bCs/>
          <w:color w:val="000000"/>
          <w:szCs w:val="24"/>
        </w:rPr>
      </w:pPr>
      <w:r>
        <w:rPr>
          <w:rFonts w:cs="Arial" w:ascii="Calibri" w:hAnsi="Calibri"/>
          <w:bCs/>
          <w:color w:val="000000"/>
          <w:szCs w:val="24"/>
        </w:rPr>
        <w:t xml:space="preserve">N° section : </w:t>
      </w:r>
      <w:r>
        <w:rPr>
          <w:rFonts w:cs="Arial" w:ascii="Calibri" w:hAnsi="Calibri"/>
          <w:b/>
          <w:bCs/>
          <w:color w:val="0070C0"/>
          <w:szCs w:val="24"/>
        </w:rPr>
        <w:t>26</w:t>
      </w:r>
    </w:p>
    <w:p>
      <w:pPr>
        <w:pStyle w:val="Normal"/>
        <w:widowControl w:val="false"/>
        <w:numPr>
          <w:ilvl w:val="0"/>
          <w:numId w:val="0"/>
        </w:numPr>
        <w:outlineLvl w:val="0"/>
        <w:rPr>
          <w:rFonts w:ascii="Calibri" w:hAnsi="Calibri" w:cs="Arial"/>
          <w:b/>
          <w:b/>
          <w:bCs/>
          <w:color w:val="000000"/>
          <w:szCs w:val="24"/>
        </w:rPr>
      </w:pPr>
      <w:r>
        <w:rPr>
          <w:rFonts w:cs="Arial" w:ascii="Calibri" w:hAnsi="Calibri"/>
          <w:bCs/>
          <w:color w:val="000000"/>
          <w:szCs w:val="24"/>
        </w:rPr>
        <w:t>Numéro du poste :</w:t>
      </w:r>
      <w:r>
        <w:rPr>
          <w:rFonts w:cs="Arial" w:ascii="Calibri" w:hAnsi="Calibri"/>
          <w:b/>
          <w:bCs/>
          <w:color w:val="000000"/>
          <w:szCs w:val="24"/>
        </w:rPr>
        <w:t xml:space="preserve">  </w:t>
      </w:r>
      <w:r>
        <w:rPr>
          <w:rFonts w:cs="Arial" w:ascii="Calibri" w:hAnsi="Calibri"/>
          <w:bCs/>
          <w:color w:val="000000"/>
          <w:szCs w:val="24"/>
        </w:rPr>
        <w:t xml:space="preserve"> </w:t>
      </w:r>
      <w:r>
        <w:rPr>
          <w:rFonts w:cs="Arial" w:ascii="Calibri" w:hAnsi="Calibri"/>
          <w:b/>
          <w:bCs/>
          <w:color w:val="0070C0"/>
          <w:szCs w:val="24"/>
        </w:rPr>
        <w:t xml:space="preserve">0522  </w:t>
      </w:r>
      <w:r>
        <w:rPr>
          <w:rFonts w:cs="Arial" w:ascii="Calibri" w:hAnsi="Calibri"/>
          <w:bCs/>
          <w:color w:val="000000"/>
          <w:szCs w:val="24"/>
        </w:rPr>
        <w:t xml:space="preserve">     </w:t>
        <w:tab/>
      </w:r>
    </w:p>
    <w:p>
      <w:pPr>
        <w:pStyle w:val="Normal"/>
        <w:widowControl w:val="false"/>
        <w:numPr>
          <w:ilvl w:val="0"/>
          <w:numId w:val="0"/>
        </w:numPr>
        <w:outlineLvl w:val="0"/>
        <w:rPr/>
      </w:pPr>
      <w:r>
        <w:rPr>
          <w:rFonts w:cs="Arial" w:ascii="Calibri" w:hAnsi="Calibri"/>
          <w:bCs/>
          <w:i/>
          <w:color w:val="000000" w:themeColor="text1"/>
          <w:szCs w:val="24"/>
        </w:rPr>
        <w:t>Référence Galaxie : complétée ultérieurement par le SPE-EC</w:t>
      </w:r>
    </w:p>
    <w:p>
      <w:pPr>
        <w:pStyle w:val="Normal"/>
        <w:widowControl w:val="false"/>
        <w:numPr>
          <w:ilvl w:val="0"/>
          <w:numId w:val="0"/>
        </w:numPr>
        <w:outlineLvl w:val="0"/>
        <w:rPr>
          <w:rFonts w:ascii="Calibri" w:hAnsi="Calibri" w:cs="Arial"/>
          <w:bCs/>
          <w:i/>
          <w:i/>
          <w:color w:val="000000" w:themeColor="text1"/>
          <w:szCs w:val="24"/>
        </w:rPr>
      </w:pPr>
      <w:r>
        <w:rPr>
          <w:rFonts w:cs="Arial" w:ascii="Calibri" w:hAnsi="Calibri"/>
          <w:bCs/>
          <w:i/>
          <w:color w:val="000000" w:themeColor="text1"/>
          <w:szCs w:val="24"/>
        </w:rPr>
      </w:r>
    </w:p>
    <w:p>
      <w:pPr>
        <w:pStyle w:val="Normal"/>
        <w:widowControl w:val="false"/>
        <w:numPr>
          <w:ilvl w:val="0"/>
          <w:numId w:val="0"/>
        </w:numPr>
        <w:outlineLvl w:val="0"/>
        <w:rPr>
          <w:i w:val="false"/>
          <w:i w:val="false"/>
          <w:iCs w:val="false"/>
        </w:rPr>
      </w:pPr>
      <w:r>
        <w:rPr>
          <w:rFonts w:cs="Arial" w:ascii="Calibri" w:hAnsi="Calibri"/>
          <w:bCs/>
          <w:i w:val="false"/>
          <w:iCs w:val="false"/>
          <w:color w:val="000000" w:themeColor="text1"/>
          <w:szCs w:val="24"/>
        </w:rPr>
        <w:t>Profil succinct : EDP, Modélisation</w:t>
      </w:r>
    </w:p>
    <w:p>
      <w:pPr>
        <w:pStyle w:val="Normal"/>
        <w:widowControl w:val="false"/>
        <w:rPr>
          <w:rFonts w:ascii="Calibri" w:hAnsi="Calibri" w:cs="Arial"/>
          <w:bCs/>
          <w:color w:val="000000"/>
          <w:szCs w:val="24"/>
        </w:rPr>
      </w:pPr>
      <w:r>
        <w:rPr>
          <w:rFonts w:cs="Arial" w:ascii="Calibri" w:hAnsi="Calibri"/>
          <w:bCs/>
          <w:color w:val="000000"/>
          <w:szCs w:val="24"/>
        </w:rPr>
      </w:r>
    </w:p>
    <w:p>
      <w:pPr>
        <w:pStyle w:val="Normal"/>
        <w:widowControl w:val="false"/>
        <w:rPr>
          <w:rFonts w:ascii="Calibri" w:hAnsi="Calibri" w:cs="Arial"/>
          <w:bCs/>
          <w:color w:val="000000"/>
          <w:szCs w:val="24"/>
        </w:rPr>
      </w:pPr>
      <w:r>
        <w:rPr>
          <w:rFonts w:cs="Arial" w:ascii="Calibri" w:hAnsi="Calibri"/>
          <w:b/>
          <w:bCs/>
          <w:color w:val="FFFFFF"/>
          <w:szCs w:val="24"/>
        </w:rPr>
        <w:t>exercice</w:t>
      </w:r>
    </w:p>
    <w:p>
      <w:pPr>
        <w:pStyle w:val="Normal"/>
        <w:widowControl w:val="false"/>
        <w:numPr>
          <w:ilvl w:val="0"/>
          <w:numId w:val="0"/>
        </w:numPr>
        <w:shd w:val="clear" w:color="auto" w:fill="C6D9F1" w:themeFill="text2" w:themeFillTint="33"/>
        <w:outlineLvl w:val="0"/>
        <w:rPr>
          <w:rFonts w:ascii="Calibri" w:hAnsi="Calibri" w:cs="Arial"/>
          <w:b/>
          <w:b/>
          <w:bCs/>
          <w:smallCaps/>
          <w:sz w:val="28"/>
          <w:szCs w:val="28"/>
        </w:rPr>
      </w:pPr>
      <w:r>
        <w:rPr>
          <w:rFonts w:cs="Arial" w:ascii="Calibri" w:hAnsi="Calibri"/>
          <w:b/>
          <w:bCs/>
          <w:smallCaps/>
          <w:sz w:val="28"/>
          <w:szCs w:val="28"/>
        </w:rPr>
        <w:t>Lieux d’exercice :</w:t>
      </w:r>
    </w:p>
    <w:p>
      <w:pPr>
        <w:pStyle w:val="ListParagraph"/>
        <w:widowControl w:val="false"/>
        <w:numPr>
          <w:ilvl w:val="0"/>
          <w:numId w:val="0"/>
        </w:numPr>
        <w:ind w:left="0" w:hanging="0"/>
        <w:jc w:val="both"/>
        <w:outlineLvl w:val="0"/>
        <w:rPr>
          <w:rFonts w:ascii="Calibri" w:hAnsi="Calibri" w:cs="Arial"/>
          <w:color w:val="002060"/>
          <w:szCs w:val="24"/>
        </w:rPr>
      </w:pPr>
      <w:r>
        <w:rPr>
          <w:rFonts w:cs="Arial" w:ascii="Calibri" w:hAnsi="Calibri"/>
          <w:color w:val="002060"/>
          <w:szCs w:val="24"/>
        </w:rPr>
      </w:r>
    </w:p>
    <w:p>
      <w:pPr>
        <w:pStyle w:val="ListParagraph"/>
        <w:widowControl w:val="false"/>
        <w:numPr>
          <w:ilvl w:val="0"/>
          <w:numId w:val="1"/>
        </w:numPr>
        <w:ind w:left="0" w:hanging="0"/>
        <w:jc w:val="both"/>
        <w:outlineLvl w:val="0"/>
        <w:rPr/>
      </w:pPr>
      <w:r>
        <w:rPr>
          <w:rFonts w:cs="Arial" w:ascii="Calibri" w:hAnsi="Calibri"/>
          <w:b/>
          <w:bCs/>
          <w:szCs w:val="24"/>
        </w:rPr>
        <w:t>Composante de rattachement :</w:t>
      </w:r>
      <w:r>
        <w:rPr>
          <w:rFonts w:cs="Arial" w:ascii="Calibri" w:hAnsi="Calibri"/>
          <w:color w:val="000000"/>
          <w:szCs w:val="24"/>
        </w:rPr>
        <w:t xml:space="preserve"> </w:t>
      </w:r>
      <w:r>
        <w:rPr>
          <w:rFonts w:cs="Arial" w:ascii="Calibri" w:hAnsi="Calibri"/>
          <w:color w:val="002060"/>
          <w:szCs w:val="24"/>
        </w:rPr>
        <w:t>UFR Sciences et techniques</w:t>
      </w:r>
    </w:p>
    <w:p>
      <w:pPr>
        <w:pStyle w:val="ListParagraph"/>
        <w:widowControl w:val="false"/>
        <w:numPr>
          <w:ilvl w:val="0"/>
          <w:numId w:val="0"/>
        </w:numPr>
        <w:ind w:left="0" w:hanging="0"/>
        <w:jc w:val="both"/>
        <w:outlineLvl w:val="0"/>
        <w:rPr>
          <w:rFonts w:ascii="Calibri" w:hAnsi="Calibri" w:cs="Arial"/>
          <w:color w:val="002060"/>
          <w:szCs w:val="24"/>
        </w:rPr>
      </w:pPr>
      <w:r>
        <w:rPr>
          <w:rFonts w:cs="Arial" w:ascii="Calibri" w:hAnsi="Calibri"/>
          <w:color w:val="002060"/>
          <w:szCs w:val="24"/>
        </w:rPr>
      </w:r>
    </w:p>
    <w:p>
      <w:pPr>
        <w:pStyle w:val="ListParagraph"/>
        <w:widowControl w:val="false"/>
        <w:numPr>
          <w:ilvl w:val="0"/>
          <w:numId w:val="1"/>
        </w:numPr>
        <w:ind w:left="0" w:hanging="0"/>
        <w:jc w:val="both"/>
        <w:outlineLvl w:val="0"/>
        <w:rPr/>
      </w:pPr>
      <w:r>
        <w:rPr>
          <w:rFonts w:cs="Arial" w:ascii="Calibri" w:hAnsi="Calibri"/>
          <w:b/>
          <w:bCs/>
          <w:szCs w:val="24"/>
        </w:rPr>
        <w:t xml:space="preserve">Lieu où s’exerce principalement le service d’enseignement : </w:t>
      </w:r>
      <w:r>
        <w:rPr>
          <w:rFonts w:cs="Arial" w:ascii="Calibri" w:hAnsi="Calibri"/>
          <w:b/>
          <w:bCs/>
          <w:color w:val="002060"/>
          <w:szCs w:val="24"/>
        </w:rPr>
        <w:t xml:space="preserve">Orléans </w:t>
      </w:r>
    </w:p>
    <w:p>
      <w:pPr>
        <w:pStyle w:val="ListParagraph"/>
        <w:rPr>
          <w:rFonts w:ascii="Calibri" w:hAnsi="Calibri" w:cs="Arial"/>
          <w:color w:val="002060"/>
          <w:szCs w:val="24"/>
        </w:rPr>
      </w:pPr>
      <w:r>
        <w:rPr>
          <w:rFonts w:cs="Arial" w:ascii="Calibri" w:hAnsi="Calibri"/>
          <w:color w:val="002060"/>
          <w:szCs w:val="24"/>
        </w:rPr>
      </w:r>
    </w:p>
    <w:p>
      <w:pPr>
        <w:pStyle w:val="ListParagraph"/>
        <w:widowControl w:val="false"/>
        <w:numPr>
          <w:ilvl w:val="0"/>
          <w:numId w:val="1"/>
        </w:numPr>
        <w:jc w:val="both"/>
        <w:outlineLvl w:val="0"/>
        <w:rPr/>
      </w:pPr>
      <w:r>
        <w:rPr>
          <w:rFonts w:cs="Arial" w:ascii="Calibri" w:hAnsi="Calibri"/>
          <w:b/>
          <w:bCs/>
          <w:color w:val="000000" w:themeColor="text1"/>
          <w:szCs w:val="24"/>
        </w:rPr>
        <w:t xml:space="preserve">Autre(s) lieu(x) d’exercice possible : </w:t>
      </w:r>
      <w:r>
        <w:rPr>
          <w:rFonts w:cs="Arial" w:ascii="Calibri" w:hAnsi="Calibri"/>
          <w:b/>
          <w:bCs/>
          <w:color w:val="FF0000"/>
          <w:szCs w:val="24"/>
        </w:rPr>
        <w:t xml:space="preserve"> </w:t>
      </w:r>
      <w:r>
        <w:rPr>
          <w:rFonts w:cs="Arial" w:ascii="Calibri" w:hAnsi="Calibri"/>
          <w:b/>
          <w:bCs/>
          <w:color w:val="002060"/>
          <w:szCs w:val="24"/>
        </w:rPr>
        <w:t>Bourges, Châteauroux et Chartres</w:t>
      </w:r>
    </w:p>
    <w:p>
      <w:pPr>
        <w:pStyle w:val="ListParagraph"/>
        <w:widowControl w:val="false"/>
        <w:numPr>
          <w:ilvl w:val="0"/>
          <w:numId w:val="0"/>
        </w:numPr>
        <w:ind w:left="0" w:hanging="0"/>
        <w:jc w:val="both"/>
        <w:outlineLvl w:val="0"/>
        <w:rPr>
          <w:rFonts w:ascii="Calibri" w:hAnsi="Calibri" w:cs="Arial"/>
          <w:color w:val="002060"/>
          <w:szCs w:val="24"/>
        </w:rPr>
      </w:pPr>
      <w:r>
        <w:rPr>
          <w:rFonts w:cs="Arial" w:ascii="Calibri" w:hAnsi="Calibri"/>
          <w:color w:val="002060"/>
          <w:szCs w:val="24"/>
        </w:rPr>
      </w:r>
    </w:p>
    <w:p>
      <w:pPr>
        <w:pStyle w:val="ListParagraph"/>
        <w:widowControl w:val="false"/>
        <w:numPr>
          <w:ilvl w:val="0"/>
          <w:numId w:val="1"/>
        </w:numPr>
        <w:tabs>
          <w:tab w:val="left" w:pos="709" w:leader="none"/>
        </w:tabs>
        <w:ind w:left="0" w:hanging="0"/>
        <w:jc w:val="both"/>
        <w:outlineLvl w:val="0"/>
        <w:rPr/>
      </w:pPr>
      <w:r>
        <w:rPr>
          <w:rFonts w:cs="Arial" w:ascii="Calibri" w:hAnsi="Calibri"/>
          <w:b/>
          <w:szCs w:val="24"/>
        </w:rPr>
        <w:t>Laboratoire de rattachement :</w:t>
      </w:r>
      <w:r>
        <w:rPr>
          <w:rFonts w:cs="Arial" w:ascii="Calibri" w:hAnsi="Calibri"/>
          <w:b/>
          <w:color w:val="000000"/>
          <w:szCs w:val="24"/>
        </w:rPr>
        <w:t xml:space="preserve"> Institut Denis Poisson</w:t>
      </w:r>
    </w:p>
    <w:p>
      <w:pPr>
        <w:pStyle w:val="ListParagraph"/>
        <w:widowControl w:val="false"/>
        <w:numPr>
          <w:ilvl w:val="0"/>
          <w:numId w:val="0"/>
        </w:numPr>
        <w:ind w:left="0" w:hanging="0"/>
        <w:outlineLvl w:val="0"/>
        <w:rPr>
          <w:rFonts w:ascii="Calibri" w:hAnsi="Calibri" w:cs="Arial"/>
          <w:b/>
          <w:b/>
          <w:bCs/>
          <w:szCs w:val="24"/>
        </w:rPr>
      </w:pPr>
      <w:r>
        <w:rPr>
          <w:rFonts w:cs="Arial" w:ascii="Calibri" w:hAnsi="Calibri"/>
          <w:b/>
          <w:bCs/>
          <w:szCs w:val="24"/>
        </w:rPr>
      </w:r>
    </w:p>
    <w:p>
      <w:pPr>
        <w:pStyle w:val="Normal"/>
        <w:widowControl w:val="false"/>
        <w:numPr>
          <w:ilvl w:val="0"/>
          <w:numId w:val="0"/>
        </w:numPr>
        <w:tabs>
          <w:tab w:val="left" w:pos="709" w:leader="none"/>
        </w:tabs>
        <w:jc w:val="both"/>
        <w:outlineLvl w:val="0"/>
        <w:rPr>
          <w:rFonts w:ascii="Calibri" w:hAnsi="Calibri" w:cs="Arial"/>
          <w:color w:val="000000"/>
          <w:szCs w:val="24"/>
        </w:rPr>
      </w:pPr>
      <w:r>
        <w:rPr>
          <w:rFonts w:cs="Arial" w:ascii="Calibri" w:hAnsi="Calibri"/>
          <w:color w:val="000000"/>
          <w:szCs w:val="24"/>
        </w:rPr>
      </w:r>
    </w:p>
    <w:p>
      <w:pPr>
        <w:pStyle w:val="Normal"/>
        <w:widowControl w:val="false"/>
        <w:numPr>
          <w:ilvl w:val="0"/>
          <w:numId w:val="0"/>
        </w:numPr>
        <w:shd w:val="clear" w:color="auto" w:fill="C6D9F1" w:themeFill="text2" w:themeFillTint="33"/>
        <w:outlineLvl w:val="0"/>
        <w:rPr>
          <w:rFonts w:ascii="Calibri" w:hAnsi="Calibri" w:cs="Arial"/>
          <w:b/>
          <w:b/>
          <w:bCs/>
          <w:smallCaps/>
          <w:sz w:val="28"/>
          <w:szCs w:val="28"/>
        </w:rPr>
      </w:pPr>
      <w:r>
        <w:rPr>
          <w:rFonts w:cs="Arial" w:ascii="Calibri" w:hAnsi="Calibri"/>
          <w:b/>
          <w:bCs/>
          <w:smallCaps/>
          <w:sz w:val="28"/>
          <w:szCs w:val="28"/>
        </w:rPr>
        <w:t>Profil d’enseignement / teaching profile :</w:t>
      </w:r>
    </w:p>
    <w:p>
      <w:pPr>
        <w:pStyle w:val="ListParagraph"/>
        <w:widowControl w:val="false"/>
        <w:numPr>
          <w:ilvl w:val="0"/>
          <w:numId w:val="0"/>
        </w:numPr>
        <w:ind w:left="0" w:hanging="0"/>
        <w:outlineLvl w:val="0"/>
        <w:rPr>
          <w:rFonts w:ascii="Calibri" w:hAnsi="Calibri" w:cs="Arial"/>
          <w:b/>
          <w:b/>
          <w:bCs/>
          <w:szCs w:val="24"/>
        </w:rPr>
      </w:pPr>
      <w:r>
        <w:rPr>
          <w:rFonts w:cs="Arial" w:ascii="Calibri" w:hAnsi="Calibri"/>
          <w:b/>
          <w:bCs/>
          <w:szCs w:val="24"/>
        </w:rPr>
      </w:r>
    </w:p>
    <w:p>
      <w:pPr>
        <w:pStyle w:val="ListParagraph"/>
        <w:widowControl w:val="false"/>
        <w:numPr>
          <w:ilvl w:val="0"/>
          <w:numId w:val="1"/>
        </w:numPr>
        <w:outlineLvl w:val="0"/>
        <w:rPr/>
      </w:pPr>
      <w:r>
        <w:rPr>
          <w:rFonts w:cs="Arial" w:ascii="Calibri" w:hAnsi="Calibri"/>
          <w:b/>
          <w:bCs/>
          <w:szCs w:val="24"/>
        </w:rPr>
        <w:t xml:space="preserve"> </w:t>
      </w:r>
      <w:r>
        <w:rPr>
          <w:rFonts w:cs="Arial" w:ascii="Calibri" w:hAnsi="Calibri"/>
          <w:b/>
          <w:bCs/>
          <w:szCs w:val="24"/>
        </w:rPr>
        <w:t xml:space="preserve">Filières de formation concernées : </w:t>
      </w:r>
      <w:r>
        <w:rPr>
          <w:rFonts w:cs="Arial" w:ascii="Calibri" w:hAnsi="Calibri"/>
          <w:b w:val="false"/>
          <w:bCs w:val="false"/>
          <w:szCs w:val="24"/>
        </w:rPr>
        <w:t>Toutes filières de Mathématiques à l’UFR Sciences et Techniques mais il est possible aussi d’avoir des enseignements ponctuels dans les autres composantes de l’université.</w:t>
      </w:r>
    </w:p>
    <w:p>
      <w:pPr>
        <w:pStyle w:val="Normal"/>
        <w:widowControl w:val="false"/>
        <w:numPr>
          <w:ilvl w:val="0"/>
          <w:numId w:val="0"/>
        </w:numPr>
        <w:ind w:left="1113" w:hanging="0"/>
        <w:rPr>
          <w:rFonts w:ascii="Calibri" w:hAnsi="Calibri" w:cs="Arial"/>
          <w:bCs/>
          <w:szCs w:val="24"/>
        </w:rPr>
      </w:pPr>
      <w:r>
        <w:rPr>
          <w:rFonts w:cs="Arial" w:ascii="Calibri" w:hAnsi="Calibri"/>
          <w:bCs/>
          <w:szCs w:val="24"/>
        </w:rPr>
      </w:r>
    </w:p>
    <w:p>
      <w:pPr>
        <w:pStyle w:val="ListParagraph"/>
        <w:widowControl w:val="false"/>
        <w:numPr>
          <w:ilvl w:val="0"/>
          <w:numId w:val="1"/>
        </w:numPr>
        <w:outlineLvl w:val="0"/>
        <w:rPr/>
      </w:pPr>
      <w:r>
        <w:rPr>
          <w:rFonts w:cs="Arial" w:ascii="Calibri" w:hAnsi="Calibri"/>
          <w:b/>
          <w:bCs/>
          <w:szCs w:val="24"/>
        </w:rPr>
        <w:t>Formation initiale : Licence-Master-Préparation aux concours d’enseignants.</w:t>
      </w:r>
    </w:p>
    <w:p>
      <w:pPr>
        <w:pStyle w:val="Normal"/>
        <w:widowControl w:val="false"/>
        <w:numPr>
          <w:ilvl w:val="0"/>
          <w:numId w:val="0"/>
        </w:numPr>
        <w:ind w:left="1113" w:hanging="0"/>
        <w:rPr>
          <w:rFonts w:ascii="Calibri" w:hAnsi="Calibri" w:cs="Arial"/>
          <w:b/>
          <w:b/>
          <w:bCs/>
          <w:i/>
          <w:i/>
          <w:color w:val="000000"/>
          <w:szCs w:val="24"/>
        </w:rPr>
      </w:pPr>
      <w:r>
        <w:rPr>
          <w:rFonts w:cs="Arial" w:ascii="Calibri" w:hAnsi="Calibri"/>
          <w:b/>
          <w:bCs/>
          <w:i/>
          <w:color w:val="000000"/>
          <w:szCs w:val="24"/>
        </w:rPr>
      </w:r>
    </w:p>
    <w:p>
      <w:pPr>
        <w:pStyle w:val="ListParagraph"/>
        <w:widowControl w:val="false"/>
        <w:numPr>
          <w:ilvl w:val="0"/>
          <w:numId w:val="1"/>
        </w:numPr>
        <w:outlineLvl w:val="0"/>
        <w:rPr/>
      </w:pPr>
      <w:r>
        <w:rPr>
          <w:rFonts w:cs="Arial" w:ascii="Calibri" w:hAnsi="Calibri"/>
          <w:b/>
          <w:bCs/>
          <w:szCs w:val="24"/>
        </w:rPr>
        <w:t>Formation continue : Préparation à l’agrégation interne.</w:t>
      </w:r>
    </w:p>
    <w:p>
      <w:pPr>
        <w:pStyle w:val="ListParagraph"/>
        <w:widowControl w:val="false"/>
        <w:numPr>
          <w:ilvl w:val="0"/>
          <w:numId w:val="0"/>
        </w:numPr>
        <w:ind w:left="1833" w:hanging="0"/>
        <w:outlineLvl w:val="0"/>
        <w:rPr>
          <w:rFonts w:ascii="Calibri" w:hAnsi="Calibri" w:cs="Arial"/>
          <w:b/>
          <w:b/>
          <w:bCs/>
          <w:szCs w:val="24"/>
        </w:rPr>
      </w:pPr>
      <w:r>
        <w:rPr>
          <w:rFonts w:cs="Arial" w:ascii="Calibri" w:hAnsi="Calibri"/>
          <w:b/>
          <w:bCs/>
          <w:szCs w:val="24"/>
        </w:rPr>
      </w:r>
    </w:p>
    <w:p>
      <w:pPr>
        <w:pStyle w:val="ListParagraph"/>
        <w:widowControl w:val="false"/>
        <w:numPr>
          <w:ilvl w:val="0"/>
          <w:numId w:val="1"/>
        </w:numPr>
        <w:outlineLvl w:val="0"/>
        <w:rPr/>
      </w:pPr>
      <w:r>
        <w:rPr>
          <w:rFonts w:cs="Arial" w:ascii="Calibri" w:hAnsi="Calibri"/>
          <w:b/>
          <w:bCs/>
          <w:szCs w:val="24"/>
        </w:rPr>
        <w:t>Objectifs pédagogiques et besoins d’encadrement </w:t>
      </w:r>
      <w:r>
        <w:rPr>
          <w:rFonts w:cs="Arial" w:ascii="Calibri" w:hAnsi="Calibri"/>
          <w:bCs/>
          <w:szCs w:val="24"/>
        </w:rPr>
        <w:t xml:space="preserve">: </w:t>
      </w:r>
      <w:r>
        <w:rPr>
          <w:rFonts w:cs="Arial" w:ascii="Calibri" w:hAnsi="Calibri"/>
          <w:b w:val="false"/>
          <w:bCs w:val="false"/>
          <w:szCs w:val="24"/>
        </w:rPr>
        <w:t>Enseignements de Mathématiques générales et enseignements sur machine en Licence et Master.</w:t>
      </w:r>
    </w:p>
    <w:p>
      <w:pPr>
        <w:pStyle w:val="Normal"/>
        <w:widowControl w:val="false"/>
        <w:numPr>
          <w:ilvl w:val="0"/>
          <w:numId w:val="0"/>
        </w:numPr>
        <w:ind w:left="1113" w:hanging="0"/>
        <w:outlineLvl w:val="0"/>
        <w:rPr>
          <w:rFonts w:ascii="Calibri" w:hAnsi="Calibri" w:cs="Arial"/>
          <w:b/>
          <w:b/>
          <w:bCs/>
          <w:szCs w:val="24"/>
        </w:rPr>
      </w:pPr>
      <w:r>
        <w:rPr>
          <w:rFonts w:cs="Arial" w:ascii="Calibri" w:hAnsi="Calibri"/>
          <w:b/>
          <w:bCs/>
          <w:szCs w:val="24"/>
        </w:rPr>
      </w:r>
    </w:p>
    <w:p>
      <w:pPr>
        <w:pStyle w:val="Normal"/>
        <w:widowControl w:val="false"/>
        <w:numPr>
          <w:ilvl w:val="0"/>
          <w:numId w:val="1"/>
        </w:numPr>
        <w:rPr/>
      </w:pPr>
      <w:r>
        <w:rPr>
          <w:rFonts w:cs="Arial" w:ascii="Calibri" w:hAnsi="Calibri"/>
          <w:b/>
          <w:bCs/>
          <w:i/>
          <w:szCs w:val="24"/>
        </w:rPr>
        <w:t>(version anglaise) </w:t>
      </w:r>
      <w:r>
        <w:rPr>
          <w:rFonts w:cs="Arial" w:ascii="Calibri" w:hAnsi="Calibri"/>
          <w:bCs/>
          <w:i/>
          <w:color w:val="002060"/>
          <w:szCs w:val="24"/>
        </w:rPr>
        <w:t xml:space="preserve">: </w:t>
      </w:r>
      <w:r>
        <w:rPr/>
        <w:t>Teaching profile: teaching is expected in all mathematical curricula,</w:t>
      </w:r>
    </w:p>
    <w:p>
      <w:pPr>
        <w:pStyle w:val="Normal"/>
        <w:widowControl w:val="false"/>
        <w:numPr>
          <w:ilvl w:val="0"/>
          <w:numId w:val="1"/>
        </w:numPr>
        <w:rPr/>
      </w:pPr>
      <w:r>
        <w:rPr/>
        <w:t>licence (bachelor degree), masters, and preparation to national</w:t>
      </w:r>
    </w:p>
    <w:p>
      <w:pPr>
        <w:pStyle w:val="Normal"/>
        <w:widowControl w:val="false"/>
        <w:numPr>
          <w:ilvl w:val="0"/>
          <w:numId w:val="1"/>
        </w:numPr>
        <w:rPr/>
      </w:pPr>
      <w:r>
        <w:rPr>
          <w:rFonts w:cs="Arial" w:ascii="Calibri" w:hAnsi="Calibri"/>
          <w:i/>
          <w:color w:val="000000"/>
          <w:szCs w:val="24"/>
        </w:rPr>
        <w:t xml:space="preserve">competitive teacher examinations. </w:t>
      </w:r>
    </w:p>
    <w:p>
      <w:pPr>
        <w:pStyle w:val="Normal"/>
        <w:widowControl w:val="false"/>
        <w:numPr>
          <w:ilvl w:val="0"/>
          <w:numId w:val="0"/>
        </w:numPr>
        <w:ind w:left="1113" w:hanging="0"/>
        <w:rPr>
          <w:rFonts w:ascii="Calibri" w:hAnsi="Calibri" w:cs="Arial"/>
          <w:i/>
          <w:i/>
          <w:color w:val="000000"/>
          <w:szCs w:val="24"/>
        </w:rPr>
      </w:pPr>
      <w:r>
        <w:rPr>
          <w:rFonts w:cs="Arial" w:ascii="Calibri" w:hAnsi="Calibri"/>
          <w:i/>
          <w:color w:val="000000"/>
          <w:szCs w:val="24"/>
        </w:rPr>
      </w:r>
    </w:p>
    <w:p>
      <w:pPr>
        <w:pStyle w:val="Normal"/>
        <w:widowControl w:val="false"/>
        <w:numPr>
          <w:ilvl w:val="0"/>
          <w:numId w:val="1"/>
        </w:numPr>
        <w:jc w:val="both"/>
        <w:outlineLvl w:val="0"/>
        <w:rPr/>
      </w:pPr>
      <w:r>
        <w:rPr>
          <w:rFonts w:cs="Arial" w:ascii="Calibri" w:hAnsi="Calibri"/>
          <w:b/>
          <w:bCs/>
          <w:i/>
          <w:color w:val="000000"/>
          <w:szCs w:val="24"/>
          <w:u w:val="single"/>
        </w:rPr>
        <w:t>Contact : michele.grillot@univ-orleans.fr</w:t>
      </w:r>
    </w:p>
    <w:p>
      <w:pPr>
        <w:pStyle w:val="Normal"/>
        <w:rPr>
          <w:rFonts w:ascii="Calibri" w:hAnsi="Calibri" w:cs="Arial"/>
          <w:i/>
          <w:i/>
          <w:color w:val="000000"/>
          <w:szCs w:val="24"/>
        </w:rPr>
      </w:pPr>
      <w:r>
        <w:rPr>
          <w:rFonts w:cs="Arial" w:ascii="Calibri" w:hAnsi="Calibri"/>
          <w:i/>
          <w:color w:val="000000"/>
          <w:szCs w:val="24"/>
        </w:rPr>
      </w:r>
    </w:p>
    <w:p>
      <w:pPr>
        <w:pStyle w:val="Normal"/>
        <w:shd w:val="clear" w:color="auto" w:fill="C6D9F1" w:themeFill="text2" w:themeFillTint="33"/>
        <w:rPr>
          <w:rFonts w:ascii="Calibri" w:hAnsi="Calibri" w:cs="Arial"/>
          <w:b/>
          <w:b/>
          <w:bCs/>
          <w:smallCaps/>
          <w:sz w:val="28"/>
          <w:szCs w:val="28"/>
        </w:rPr>
      </w:pPr>
      <w:r>
        <w:rPr>
          <w:rFonts w:cs="Arial" w:ascii="Calibri" w:hAnsi="Calibri"/>
          <w:b/>
          <w:bCs/>
          <w:smallCaps/>
          <w:sz w:val="28"/>
          <w:szCs w:val="28"/>
        </w:rPr>
        <w:t>Profil Recherche / research profile :</w:t>
      </w:r>
    </w:p>
    <w:p>
      <w:pPr>
        <w:pStyle w:val="ListParagraph"/>
        <w:widowControl w:val="false"/>
        <w:numPr>
          <w:ilvl w:val="0"/>
          <w:numId w:val="0"/>
        </w:numPr>
        <w:ind w:left="0" w:hanging="0"/>
        <w:jc w:val="both"/>
        <w:outlineLvl w:val="0"/>
        <w:rPr>
          <w:rFonts w:ascii="Calibri" w:hAnsi="Calibri" w:cs="Arial"/>
          <w:b/>
          <w:b/>
          <w:szCs w:val="24"/>
        </w:rPr>
      </w:pPr>
      <w:r>
        <w:rPr>
          <w:rFonts w:cs="Arial" w:ascii="Calibri" w:hAnsi="Calibri"/>
          <w:b/>
          <w:szCs w:val="24"/>
        </w:rPr>
      </w:r>
    </w:p>
    <w:p>
      <w:pPr>
        <w:pStyle w:val="ListParagraph"/>
        <w:widowControl w:val="false"/>
        <w:numPr>
          <w:ilvl w:val="0"/>
          <w:numId w:val="1"/>
        </w:numPr>
        <w:ind w:left="0" w:hanging="0"/>
        <w:jc w:val="both"/>
        <w:outlineLvl w:val="0"/>
        <w:rPr/>
      </w:pPr>
      <w:r>
        <w:rPr>
          <w:rFonts w:cs="Arial" w:ascii="Calibri" w:hAnsi="Calibri"/>
          <w:b/>
          <w:szCs w:val="24"/>
        </w:rPr>
        <w:t>Descriptif succinct du laboratoire/équipe de recherche :</w:t>
      </w:r>
      <w:r>
        <w:rPr>
          <w:rFonts w:cs="Arial" w:ascii="Calibri" w:hAnsi="Calibri"/>
          <w:b/>
          <w:bCs/>
          <w:szCs w:val="24"/>
        </w:rPr>
        <w:t xml:space="preserve"> </w:t>
      </w:r>
    </w:p>
    <w:p>
      <w:pPr>
        <w:pStyle w:val="ListParagraph"/>
        <w:widowControl w:val="false"/>
        <w:numPr>
          <w:ilvl w:val="0"/>
          <w:numId w:val="0"/>
        </w:numPr>
        <w:ind w:left="1113" w:hanging="0"/>
        <w:jc w:val="both"/>
        <w:outlineLvl w:val="0"/>
        <w:rPr/>
      </w:pPr>
      <w:r>
        <w:rPr>
          <w:rFonts w:cs="Arial" w:ascii="Calibri" w:hAnsi="Calibri"/>
          <w:b w:val="false"/>
          <w:bCs w:val="false"/>
          <w:szCs w:val="24"/>
        </w:rPr>
        <w:t>L’Institut Denis Poisson regroupe l’ensemble des chercheurs en mathématiques et physique théorique des universités d’Orléans et de Tours. Le chercheur recruté sera affecté sur le site d’Orléans et devra s’insérer dans l’équipe EMS : « EDP, Modélisation, Simulation ».</w:t>
      </w:r>
    </w:p>
    <w:p>
      <w:pPr>
        <w:pStyle w:val="ListParagraph"/>
        <w:widowControl w:val="false"/>
        <w:numPr>
          <w:ilvl w:val="0"/>
          <w:numId w:val="0"/>
        </w:numPr>
        <w:ind w:left="1113" w:hanging="0"/>
        <w:jc w:val="both"/>
        <w:outlineLvl w:val="0"/>
        <w:rPr>
          <w:rFonts w:ascii="Calibri" w:hAnsi="Calibri" w:cs="Arial"/>
          <w:b w:val="false"/>
          <w:b w:val="false"/>
          <w:bCs w:val="false"/>
          <w:szCs w:val="24"/>
        </w:rPr>
      </w:pPr>
      <w:r>
        <w:rPr>
          <w:rFonts w:cs="Arial" w:ascii="Calibri" w:hAnsi="Calibri"/>
          <w:b w:val="false"/>
          <w:bCs w:val="false"/>
          <w:szCs w:val="24"/>
        </w:rPr>
      </w:r>
    </w:p>
    <w:p>
      <w:pPr>
        <w:pStyle w:val="ListParagraph"/>
        <w:widowControl w:val="false"/>
        <w:numPr>
          <w:ilvl w:val="0"/>
          <w:numId w:val="0"/>
        </w:numPr>
        <w:ind w:left="1113" w:hanging="0"/>
        <w:jc w:val="both"/>
        <w:outlineLvl w:val="0"/>
        <w:rPr/>
      </w:pPr>
      <w:r>
        <w:rPr>
          <w:rFonts w:cs="Arial" w:ascii="Calibri" w:hAnsi="Calibri"/>
          <w:b w:val="false"/>
          <w:bCs w:val="false"/>
          <w:szCs w:val="24"/>
        </w:rPr>
        <w:t xml:space="preserve">Voir le site web </w:t>
      </w:r>
      <w:hyperlink r:id="rId2">
        <w:r>
          <w:rPr>
            <w:rStyle w:val="LienInternet"/>
            <w:rFonts w:cs="Arial" w:ascii="Calibri" w:hAnsi="Calibri"/>
            <w:b w:val="false"/>
            <w:bCs w:val="false"/>
            <w:szCs w:val="24"/>
          </w:rPr>
          <w:t>https://www.idpoisson.fr/</w:t>
        </w:r>
      </w:hyperlink>
      <w:r>
        <w:rPr>
          <w:rFonts w:cs="Arial" w:ascii="Calibri" w:hAnsi="Calibri"/>
          <w:b w:val="false"/>
          <w:bCs w:val="false"/>
          <w:szCs w:val="24"/>
        </w:rPr>
        <w:t xml:space="preserve"> pour plus de renseignements sur le laboratoire.</w:t>
      </w:r>
    </w:p>
    <w:p>
      <w:pPr>
        <w:pStyle w:val="ListParagraph"/>
        <w:widowControl w:val="false"/>
        <w:numPr>
          <w:ilvl w:val="0"/>
          <w:numId w:val="0"/>
        </w:numPr>
        <w:ind w:left="0" w:hanging="0"/>
        <w:jc w:val="both"/>
        <w:outlineLvl w:val="0"/>
        <w:rPr>
          <w:rFonts w:ascii="Calibri" w:hAnsi="Calibri" w:cs="Arial"/>
          <w:b/>
          <w:b/>
          <w:szCs w:val="24"/>
        </w:rPr>
      </w:pPr>
      <w:r>
        <w:rPr>
          <w:rFonts w:cs="Arial" w:ascii="Calibri" w:hAnsi="Calibri"/>
          <w:b/>
          <w:szCs w:val="24"/>
        </w:rPr>
      </w:r>
    </w:p>
    <w:p>
      <w:pPr>
        <w:pStyle w:val="ListParagraph"/>
        <w:widowControl w:val="false"/>
        <w:numPr>
          <w:ilvl w:val="0"/>
          <w:numId w:val="1"/>
        </w:numPr>
        <w:ind w:left="0" w:hanging="0"/>
        <w:jc w:val="both"/>
        <w:outlineLvl w:val="0"/>
        <w:rPr/>
      </w:pPr>
      <w:r>
        <w:rPr>
          <w:rFonts w:cs="Arial" w:ascii="Calibri" w:hAnsi="Calibri"/>
          <w:b/>
          <w:bCs/>
          <w:szCs w:val="24"/>
        </w:rPr>
        <w:t>Compétences requises </w:t>
      </w:r>
      <w:r>
        <w:rPr>
          <w:rFonts w:cs="Arial" w:ascii="Calibri" w:hAnsi="Calibri"/>
          <w:b/>
          <w:szCs w:val="24"/>
        </w:rPr>
        <w:t>:</w:t>
      </w:r>
    </w:p>
    <w:p>
      <w:pPr>
        <w:pStyle w:val="ListParagraph"/>
        <w:widowControl w:val="false"/>
        <w:numPr>
          <w:ilvl w:val="0"/>
          <w:numId w:val="0"/>
        </w:numPr>
        <w:ind w:left="0" w:hanging="0"/>
        <w:jc w:val="both"/>
        <w:outlineLvl w:val="0"/>
        <w:rPr>
          <w:rFonts w:ascii="Calibri" w:hAnsi="Calibri" w:cs="Arial"/>
          <w:b/>
          <w:b/>
          <w:szCs w:val="24"/>
        </w:rPr>
      </w:pPr>
      <w:r>
        <w:rPr>
          <w:rFonts w:cs="Arial" w:ascii="Calibri" w:hAnsi="Calibri"/>
          <w:b/>
          <w:szCs w:val="24"/>
        </w:rPr>
      </w:r>
    </w:p>
    <w:p>
      <w:pPr>
        <w:pStyle w:val="ListParagraph"/>
        <w:widowControl w:val="false"/>
        <w:numPr>
          <w:ilvl w:val="0"/>
          <w:numId w:val="0"/>
        </w:numPr>
        <w:ind w:left="0" w:hanging="0"/>
        <w:jc w:val="both"/>
        <w:outlineLvl w:val="0"/>
        <w:rPr>
          <w:b w:val="false"/>
          <w:b w:val="false"/>
          <w:bCs w:val="false"/>
          <w:i w:val="false"/>
          <w:i w:val="false"/>
          <w:iCs w:val="false"/>
        </w:rPr>
      </w:pPr>
      <w:r>
        <w:rPr>
          <w:rFonts w:cs="Arial" w:ascii="Calibri" w:hAnsi="Calibri"/>
          <w:b w:val="false"/>
          <w:bCs w:val="false"/>
          <w:i w:val="false"/>
          <w:iCs w:val="false"/>
          <w:szCs w:val="24"/>
        </w:rPr>
        <w:t>Le maître de conférences recruté sera intégré dans l’équipe EMS, un solide bagage en mathématiques appliquées et équations aux dérivées partielles est requis.</w:t>
      </w:r>
    </w:p>
    <w:p>
      <w:pPr>
        <w:pStyle w:val="ListParagraph"/>
        <w:widowControl w:val="false"/>
        <w:numPr>
          <w:ilvl w:val="0"/>
          <w:numId w:val="0"/>
        </w:numPr>
        <w:ind w:left="0" w:hanging="0"/>
        <w:jc w:val="both"/>
        <w:outlineLvl w:val="0"/>
        <w:rPr>
          <w:b w:val="false"/>
          <w:b w:val="false"/>
          <w:bCs w:val="false"/>
          <w:i w:val="false"/>
          <w:i w:val="false"/>
          <w:iCs w:val="false"/>
        </w:rPr>
      </w:pPr>
      <w:r>
        <w:rPr>
          <w:rFonts w:cs="Arial" w:ascii="Calibri" w:hAnsi="Calibri"/>
          <w:b w:val="false"/>
          <w:bCs w:val="false"/>
          <w:i w:val="false"/>
          <w:iCs w:val="false"/>
          <w:szCs w:val="24"/>
        </w:rPr>
        <w:t>De plus, l’équipe EMS a développé ces dernières années de nombreuses collaborations pluri-disciplinaires avec d'autres laboratoires de la région ainsi qu'avec des partenaires industriels ; le candidat devra s’insérer dans ces collaborations. Un goût pour les applications ainsi que des compétences numériques seront donc appréciés.</w:t>
      </w:r>
    </w:p>
    <w:p>
      <w:pPr>
        <w:pStyle w:val="ListParagraph"/>
        <w:widowControl w:val="false"/>
        <w:numPr>
          <w:ilvl w:val="0"/>
          <w:numId w:val="0"/>
        </w:numPr>
        <w:ind w:left="0" w:hanging="0"/>
        <w:jc w:val="both"/>
        <w:outlineLvl w:val="0"/>
        <w:rPr>
          <w:b w:val="false"/>
          <w:b w:val="false"/>
          <w:bCs w:val="false"/>
          <w:i w:val="false"/>
          <w:i w:val="false"/>
          <w:iCs w:val="false"/>
        </w:rPr>
      </w:pPr>
      <w:r>
        <w:rPr>
          <w:rFonts w:cs="Arial" w:ascii="Calibri" w:hAnsi="Calibri"/>
          <w:b w:val="false"/>
          <w:bCs w:val="false"/>
          <w:i w:val="false"/>
          <w:iCs w:val="false"/>
          <w:szCs w:val="24"/>
        </w:rPr>
        <w:t>Les principaux domaines applicatifs actuellement développés au laboratoire sont</w:t>
      </w:r>
    </w:p>
    <w:p>
      <w:pPr>
        <w:pStyle w:val="ListParagraph"/>
        <w:widowControl w:val="false"/>
        <w:numPr>
          <w:ilvl w:val="0"/>
          <w:numId w:val="0"/>
        </w:numPr>
        <w:ind w:left="0" w:hanging="0"/>
        <w:jc w:val="both"/>
        <w:outlineLvl w:val="0"/>
        <w:rPr>
          <w:b w:val="false"/>
          <w:b w:val="false"/>
          <w:bCs w:val="false"/>
          <w:i w:val="false"/>
          <w:i w:val="false"/>
          <w:iCs w:val="false"/>
        </w:rPr>
      </w:pPr>
      <w:r>
        <w:rPr>
          <w:rFonts w:cs="Arial" w:ascii="Calibri" w:hAnsi="Calibri"/>
          <w:b w:val="false"/>
          <w:bCs w:val="false"/>
          <w:i w:val="false"/>
          <w:iCs w:val="false"/>
          <w:szCs w:val="24"/>
        </w:rPr>
        <w:t>1. Les applications en biologie</w:t>
      </w:r>
    </w:p>
    <w:p>
      <w:pPr>
        <w:pStyle w:val="ListParagraph"/>
        <w:widowControl w:val="false"/>
        <w:numPr>
          <w:ilvl w:val="0"/>
          <w:numId w:val="0"/>
        </w:numPr>
        <w:ind w:left="0" w:hanging="0"/>
        <w:jc w:val="both"/>
        <w:outlineLvl w:val="0"/>
        <w:rPr>
          <w:b w:val="false"/>
          <w:b w:val="false"/>
          <w:bCs w:val="false"/>
          <w:i w:val="false"/>
          <w:i w:val="false"/>
          <w:iCs w:val="false"/>
        </w:rPr>
      </w:pPr>
      <w:r>
        <w:rPr>
          <w:rFonts w:cs="Arial" w:ascii="Calibri" w:hAnsi="Calibri"/>
          <w:b w:val="false"/>
          <w:bCs w:val="false"/>
          <w:i w:val="false"/>
          <w:iCs w:val="false"/>
          <w:szCs w:val="24"/>
        </w:rPr>
        <w:t>2. Les applications en géosciences et à l’environnement.</w:t>
      </w:r>
    </w:p>
    <w:p>
      <w:pPr>
        <w:pStyle w:val="ListParagraph"/>
        <w:ind w:left="0" w:hanging="0"/>
        <w:rPr>
          <w:rFonts w:ascii="Calibri" w:hAnsi="Calibri" w:cs="Arial"/>
          <w:b/>
          <w:b/>
          <w:szCs w:val="24"/>
        </w:rPr>
      </w:pPr>
      <w:r>
        <w:rPr>
          <w:rFonts w:cs="Arial" w:ascii="Calibri" w:hAnsi="Calibri"/>
          <w:b/>
          <w:szCs w:val="24"/>
        </w:rPr>
      </w:r>
    </w:p>
    <w:p>
      <w:pPr>
        <w:pStyle w:val="Normal"/>
        <w:jc w:val="both"/>
        <w:rPr/>
      </w:pPr>
      <w:r>
        <w:rPr>
          <w:rFonts w:cs="Arial" w:ascii="Calibri" w:hAnsi="Calibri"/>
          <w:b/>
          <w:i/>
          <w:color w:val="000000" w:themeColor="text1"/>
          <w:szCs w:val="24"/>
        </w:rPr>
        <w:t xml:space="preserve"> </w:t>
      </w:r>
      <w:r>
        <w:rPr>
          <w:rFonts w:cs="Arial" w:ascii="Calibri" w:hAnsi="Calibri"/>
          <w:b/>
          <w:i/>
          <w:color w:val="000000" w:themeColor="text1"/>
          <w:szCs w:val="24"/>
        </w:rPr>
        <w:t xml:space="preserve">(English version) </w:t>
      </w:r>
      <w:r>
        <w:rPr>
          <w:rFonts w:cs="Arial" w:ascii="Calibri" w:hAnsi="Calibri"/>
          <w:b/>
          <w:i/>
          <w:color w:val="002060"/>
          <w:szCs w:val="24"/>
        </w:rPr>
        <w:t>:</w:t>
      </w:r>
      <w:r>
        <w:rPr>
          <w:rFonts w:cs="Arial" w:ascii="Calibri" w:hAnsi="Calibri"/>
          <w:i/>
          <w:color w:val="002060"/>
          <w:szCs w:val="24"/>
        </w:rPr>
        <w:t xml:space="preserve"> </w:t>
      </w:r>
      <w:r>
        <w:rPr>
          <w:rFonts w:cs="Arial" w:ascii="Calibri" w:hAnsi="Calibri"/>
          <w:i w:val="false"/>
          <w:iCs w:val="false"/>
          <w:color w:val="000000"/>
          <w:szCs w:val="24"/>
        </w:rPr>
        <w:t xml:space="preserve">The laboratory Institut Denis Poisson gathers all researchers in Maths and Theoretical Physics of Orléans and Tours. The applicant will be assigned to the Orléans site and will be a member of the « PDE, Modelisation, Simulation » team. The new Maître de Conférence must therefore have strong skills in PDEs analysis. Moreover, as the team has developed several multi-disciplinary cooperations with other laboratories,  some experience in applications is expected, mainly </w:t>
      </w:r>
    </w:p>
    <w:p>
      <w:pPr>
        <w:pStyle w:val="Normal"/>
        <w:jc w:val="both"/>
        <w:rPr/>
      </w:pPr>
      <w:r>
        <w:rPr>
          <w:rFonts w:cs="Arial" w:ascii="Calibri" w:hAnsi="Calibri"/>
          <w:i w:val="false"/>
          <w:iCs w:val="false"/>
          <w:color w:val="000000"/>
          <w:szCs w:val="24"/>
        </w:rPr>
        <w:t>1. Applications in biology,</w:t>
      </w:r>
    </w:p>
    <w:p>
      <w:pPr>
        <w:pStyle w:val="Normal"/>
        <w:jc w:val="both"/>
        <w:rPr/>
      </w:pPr>
      <w:r>
        <w:rPr>
          <w:rFonts w:cs="Arial" w:ascii="Calibri" w:hAnsi="Calibri"/>
          <w:i w:val="false"/>
          <w:iCs w:val="false"/>
          <w:color w:val="000000"/>
          <w:szCs w:val="24"/>
        </w:rPr>
        <w:t>2. Applications in geosciences and enrironment.</w:t>
      </w:r>
    </w:p>
    <w:p>
      <w:pPr>
        <w:pStyle w:val="Normal"/>
        <w:jc w:val="both"/>
        <w:rPr>
          <w:rFonts w:ascii="Calibri" w:hAnsi="Calibri" w:cs="Arial"/>
          <w:i w:val="false"/>
          <w:i w:val="false"/>
          <w:iCs w:val="false"/>
          <w:color w:val="000000"/>
          <w:szCs w:val="24"/>
        </w:rPr>
      </w:pPr>
      <w:r>
        <w:rPr>
          <w:rFonts w:cs="Arial" w:ascii="Calibri" w:hAnsi="Calibri"/>
          <w:i w:val="false"/>
          <w:iCs w:val="false"/>
          <w:color w:val="000000"/>
          <w:szCs w:val="24"/>
        </w:rPr>
      </w:r>
    </w:p>
    <w:p>
      <w:pPr>
        <w:pStyle w:val="Normal"/>
        <w:rPr/>
      </w:pPr>
      <w:r>
        <w:rPr>
          <w:rFonts w:cs="Arial" w:ascii="Calibri" w:hAnsi="Calibri"/>
          <w:i/>
          <w:szCs w:val="24"/>
          <w:u w:val="single"/>
        </w:rPr>
        <w:t xml:space="preserve">Contact : </w:t>
      </w:r>
      <w:r>
        <w:rPr>
          <w:rFonts w:cs="Arial" w:ascii="Calibri" w:hAnsi="Calibri"/>
          <w:i/>
          <w:szCs w:val="24"/>
          <w:u w:val="single"/>
        </w:rPr>
        <w:t>julien.barre</w:t>
      </w:r>
      <w:r>
        <w:rPr>
          <w:rFonts w:cs="Arial" w:ascii="Calibri" w:hAnsi="Calibri"/>
          <w:i/>
          <w:szCs w:val="24"/>
          <w:u w:val="single"/>
        </w:rPr>
        <w:t>@univ-orleans.fr</w:t>
      </w:r>
    </w:p>
    <w:p>
      <w:pPr>
        <w:pStyle w:val="Normal"/>
        <w:rPr>
          <w:rFonts w:ascii="Calibri" w:hAnsi="Calibri" w:cs="Arial"/>
          <w:i/>
          <w:i/>
          <w:szCs w:val="24"/>
        </w:rPr>
      </w:pPr>
      <w:r>
        <w:rPr>
          <w:rFonts w:cs="Arial" w:ascii="Calibri" w:hAnsi="Calibri"/>
          <w:i/>
          <w:szCs w:val="24"/>
        </w:rPr>
      </w:r>
      <w:bookmarkStart w:id="0" w:name="_GoBack"/>
      <w:bookmarkStart w:id="1" w:name="_GoBack"/>
      <w:bookmarkEnd w:id="1"/>
    </w:p>
    <w:p>
      <w:pPr>
        <w:pStyle w:val="Normal"/>
        <w:widowControl w:val="false"/>
        <w:numPr>
          <w:ilvl w:val="0"/>
          <w:numId w:val="0"/>
        </w:numPr>
        <w:shd w:val="clear" w:color="auto" w:fill="C6D9F1" w:themeFill="text2" w:themeFillTint="33"/>
        <w:outlineLvl w:val="0"/>
        <w:rPr>
          <w:rFonts w:ascii="Calibri" w:hAnsi="Calibri" w:cs="Arial" w:asciiTheme="minorHAnsi" w:hAnsiTheme="minorHAnsi"/>
          <w:b/>
          <w:b/>
          <w:bCs/>
          <w:color w:val="000000" w:themeColor="text1"/>
          <w:szCs w:val="24"/>
        </w:rPr>
      </w:pPr>
      <w:r>
        <w:rPr>
          <w:rFonts w:cs="Arial" w:ascii="Calibri" w:hAnsi="Calibri" w:asciiTheme="minorHAnsi" w:hAnsiTheme="minorHAnsi"/>
          <w:b/>
          <w:bCs/>
          <w:color w:val="000000" w:themeColor="text1"/>
          <w:szCs w:val="24"/>
        </w:rPr>
        <w:t>Critères</w:t>
      </w:r>
      <w:r>
        <w:rPr>
          <w:rFonts w:cs="Arial" w:ascii="Calibri" w:hAnsi="Calibri" w:asciiTheme="minorHAnsi" w:hAnsiTheme="minorHAnsi"/>
          <w:b/>
          <w:bCs/>
          <w:color w:val="FF0000"/>
          <w:szCs w:val="24"/>
        </w:rPr>
        <w:t xml:space="preserve"> </w:t>
      </w:r>
      <w:r>
        <w:rPr>
          <w:rFonts w:cs="Arial" w:ascii="Calibri" w:hAnsi="Calibri" w:asciiTheme="minorHAnsi" w:hAnsiTheme="minorHAnsi"/>
          <w:b/>
          <w:bCs/>
          <w:color w:val="000000" w:themeColor="text1"/>
          <w:szCs w:val="24"/>
        </w:rPr>
        <w:t>d’évaluation des candidatures par le comité de sélection :</w:t>
      </w:r>
    </w:p>
    <w:p>
      <w:pPr>
        <w:pStyle w:val="Normal"/>
        <w:jc w:val="both"/>
        <w:rPr>
          <w:rFonts w:ascii="Calibri" w:hAnsi="Calibri" w:asciiTheme="minorHAnsi" w:hAnsiTheme="minorHAnsi"/>
          <w:szCs w:val="24"/>
        </w:rPr>
      </w:pPr>
      <w:r>
        <w:rPr>
          <w:rFonts w:ascii="Calibri" w:hAnsi="Calibri" w:asciiTheme="minorHAnsi" w:hAnsiTheme="minorHAnsi"/>
          <w:szCs w:val="24"/>
        </w:rPr>
        <w:t xml:space="preserve">L’évaluation des candidatures se fondera sur la qualité du dossier et de l’expérience dans les domaines de l’enseignement et de la recherche ainsi que sur l’adéquation du profil des candidat.e.s avec les besoins en recherche, pédagogie et implication collective de l’établissement, tels qu’ils apparaissent dans le profil de poste. </w:t>
      </w:r>
    </w:p>
    <w:p>
      <w:pPr>
        <w:pStyle w:val="Normal"/>
        <w:jc w:val="both"/>
        <w:rPr>
          <w:rFonts w:ascii="Calibri" w:hAnsi="Calibri" w:asciiTheme="minorHAnsi" w:hAnsiTheme="minorHAnsi"/>
          <w:szCs w:val="24"/>
        </w:rPr>
      </w:pPr>
      <w:r>
        <w:rPr>
          <w:rFonts w:ascii="Calibri" w:hAnsi="Calibri" w:asciiTheme="minorHAnsi" w:hAnsiTheme="minorHAnsi"/>
          <w:szCs w:val="24"/>
        </w:rPr>
        <w:t>Ces éléments seront évalués à partir du dossier de candidature, puis le cas échéant lors de l’audition.</w:t>
      </w:r>
    </w:p>
    <w:p>
      <w:pPr>
        <w:pStyle w:val="Normal"/>
        <w:rPr>
          <w:rFonts w:ascii="Calibri" w:hAnsi="Calibri" w:cs="Arial"/>
          <w:color w:val="000000"/>
          <w:szCs w:val="24"/>
        </w:rPr>
      </w:pPr>
      <w:r>
        <w:rPr>
          <w:rFonts w:cs="Arial" w:ascii="Calibri" w:hAnsi="Calibri"/>
          <w:color w:val="000000"/>
          <w:szCs w:val="24"/>
        </w:rPr>
      </w:r>
    </w:p>
    <w:p>
      <w:pPr>
        <w:pStyle w:val="Normal"/>
        <w:widowControl w:val="false"/>
        <w:numPr>
          <w:ilvl w:val="0"/>
          <w:numId w:val="0"/>
        </w:numPr>
        <w:shd w:val="clear" w:color="auto" w:fill="C6D9F1" w:themeFill="text2" w:themeFillTint="33"/>
        <w:outlineLvl w:val="0"/>
        <w:rPr>
          <w:rFonts w:ascii="Calibri" w:hAnsi="Calibri" w:cs="Arial"/>
          <w:b/>
          <w:b/>
          <w:bCs/>
          <w:szCs w:val="24"/>
        </w:rPr>
      </w:pPr>
      <w:r>
        <w:rPr>
          <w:rFonts w:cs="Arial" w:ascii="Calibri" w:hAnsi="Calibri"/>
          <w:b/>
          <w:bCs/>
          <w:szCs w:val="24"/>
        </w:rPr>
        <w:t>Contraintes liées au poste :</w:t>
      </w:r>
    </w:p>
    <w:p>
      <w:pPr>
        <w:pStyle w:val="Normal"/>
        <w:widowControl w:val="false"/>
        <w:rPr>
          <w:rFonts w:ascii="Calibri" w:hAnsi="Calibri"/>
          <w:color w:val="000000"/>
        </w:rPr>
      </w:pPr>
      <w:r>
        <w:rPr>
          <w:rFonts w:ascii="Calibri" w:hAnsi="Calibri"/>
          <w:color w:val="000000"/>
        </w:rPr>
        <w:t xml:space="preserve">En fonction des besoins de l’université, les enseignements sont susceptibles d’avoir lieu à tous les niveaux de formation universitaire, dans l’ensemble des composantes et des sites de l’université, en français ou en anglais. </w:t>
      </w:r>
    </w:p>
    <w:p>
      <w:pPr>
        <w:pStyle w:val="Normal"/>
        <w:spacing w:beforeAutospacing="1" w:afterAutospacing="1"/>
        <w:jc w:val="both"/>
        <w:rPr>
          <w:rFonts w:ascii="Calibri" w:hAnsi="Calibri" w:eastAsia="Times New Roman"/>
          <w:szCs w:val="24"/>
        </w:rPr>
      </w:pPr>
      <w:r>
        <w:rPr>
          <w:rFonts w:eastAsia="Times New Roman" w:ascii="Calibri" w:hAnsi="Calibri"/>
          <w:szCs w:val="24"/>
        </w:rPr>
        <w:t xml:space="preserve">Par ailleurs, l’article 5 du décret n° 84-431 modifié, fixant les dispositions statutaires communes applicables aux enseignants-chercheurs et portant statut particulier du corps des professeurs des universités et du corps des maîtres de conférences dispose que les enseignants-chercheurs sont astreints à résider au lieu d'exercice de leurs fonctions. </w:t>
      </w:r>
    </w:p>
    <w:p>
      <w:pPr>
        <w:pStyle w:val="Normal"/>
        <w:widowControl w:val="false"/>
        <w:numPr>
          <w:ilvl w:val="0"/>
          <w:numId w:val="0"/>
        </w:numPr>
        <w:shd w:val="clear" w:color="auto" w:fill="C6D9F1" w:themeFill="text2" w:themeFillTint="33"/>
        <w:outlineLvl w:val="0"/>
        <w:rPr>
          <w:rFonts w:ascii="Calibri" w:hAnsi="Calibri" w:cs="Arial"/>
          <w:b/>
          <w:b/>
          <w:bCs/>
          <w:color w:val="000000" w:themeColor="text1"/>
          <w:szCs w:val="24"/>
        </w:rPr>
      </w:pPr>
      <w:r>
        <w:rPr>
          <w:rFonts w:cs="Arial" w:ascii="Calibri" w:hAnsi="Calibri"/>
          <w:b/>
          <w:bCs/>
          <w:color w:val="000000" w:themeColor="text1"/>
          <w:szCs w:val="24"/>
        </w:rPr>
        <w:t xml:space="preserve">Autres informations : </w:t>
      </w:r>
    </w:p>
    <w:p>
      <w:pPr>
        <w:pStyle w:val="Normal"/>
        <w:spacing w:beforeAutospacing="1" w:afterAutospacing="1"/>
        <w:jc w:val="both"/>
        <w:rPr>
          <w:rFonts w:ascii="Calibri" w:hAnsi="Calibri" w:eastAsia="Times New Roman"/>
          <w:color w:val="000000" w:themeColor="text1"/>
          <w:szCs w:val="24"/>
        </w:rPr>
      </w:pPr>
      <w:r>
        <w:rPr>
          <w:rFonts w:eastAsia="Times New Roman" w:ascii="Calibri" w:hAnsi="Calibri"/>
          <w:color w:val="000000" w:themeColor="text1"/>
          <w:szCs w:val="24"/>
        </w:rPr>
        <w:t xml:space="preserve">Désormais, en application du décret n°2017-854, tout maître de conférences nouvellement nommé (hors mutation) bénéficiera d’une décharge de 32 HTD, au cours de sa formation, lors de son année de stage. </w:t>
      </w:r>
    </w:p>
    <w:p>
      <w:pPr>
        <w:pStyle w:val="Normal"/>
        <w:spacing w:beforeAutospacing="1" w:afterAutospacing="1"/>
        <w:jc w:val="both"/>
        <w:rPr>
          <w:rFonts w:ascii="Calibri" w:hAnsi="Calibri" w:eastAsia="Times New Roman"/>
          <w:color w:val="000000" w:themeColor="text1"/>
          <w:szCs w:val="24"/>
        </w:rPr>
      </w:pPr>
      <w:r>
        <w:rPr>
          <w:rFonts w:eastAsia="Times New Roman" w:ascii="Calibri" w:hAnsi="Calibri"/>
          <w:color w:val="000000" w:themeColor="text1"/>
          <w:szCs w:val="24"/>
        </w:rPr>
        <w:t xml:space="preserve">L’université d’Orléans propose de compléter ce dispositif par la possibilité d’accorder: </w:t>
      </w:r>
    </w:p>
    <w:p>
      <w:pPr>
        <w:pStyle w:val="Normal"/>
        <w:spacing w:beforeAutospacing="1" w:afterAutospacing="1"/>
        <w:ind w:left="420" w:hanging="360"/>
        <w:contextualSpacing/>
        <w:jc w:val="both"/>
        <w:rPr>
          <w:rFonts w:ascii="Calibri" w:hAnsi="Calibri" w:eastAsia="Times New Roman"/>
          <w:color w:val="000000" w:themeColor="text1"/>
          <w:szCs w:val="24"/>
        </w:rPr>
      </w:pPr>
      <w:r>
        <w:rPr>
          <w:rFonts w:eastAsia="Calibri" w:cs="Calibri" w:ascii="Calibri" w:hAnsi="Calibri"/>
          <w:color w:val="000000" w:themeColor="text1"/>
          <w:szCs w:val="24"/>
        </w:rPr>
        <w:t>-</w:t>
      </w:r>
      <w:r>
        <w:rPr>
          <w:rFonts w:eastAsia="Calibri" w:ascii="Calibri" w:hAnsi="Calibri"/>
          <w:color w:val="000000" w:themeColor="text1"/>
          <w:sz w:val="14"/>
          <w:szCs w:val="14"/>
        </w:rPr>
        <w:t xml:space="preserve">          </w:t>
      </w:r>
      <w:r>
        <w:rPr>
          <w:rFonts w:eastAsia="Times New Roman" w:ascii="Calibri" w:hAnsi="Calibri"/>
          <w:color w:val="000000" w:themeColor="text1"/>
          <w:szCs w:val="24"/>
        </w:rPr>
        <w:t>une décharge supplémentaire de 32 HTD (soit une décharge totale de 64 HTD) durant la première année, sur demande conjointe de l’intéressé.e et du/de la directeur.ice de laboratoire.</w:t>
      </w:r>
    </w:p>
    <w:p>
      <w:pPr>
        <w:pStyle w:val="Normal"/>
        <w:spacing w:beforeAutospacing="1" w:afterAutospacing="1"/>
        <w:ind w:left="420" w:hanging="0"/>
        <w:contextualSpacing/>
        <w:jc w:val="both"/>
        <w:rPr>
          <w:rFonts w:ascii="Calibri" w:hAnsi="Calibri" w:eastAsia="Times New Roman"/>
          <w:color w:val="000000" w:themeColor="text1"/>
          <w:szCs w:val="24"/>
        </w:rPr>
      </w:pPr>
      <w:r>
        <w:rPr>
          <w:rFonts w:eastAsia="Times New Roman" w:ascii="Calibri" w:hAnsi="Calibri"/>
          <w:color w:val="000000" w:themeColor="text1"/>
          <w:szCs w:val="24"/>
        </w:rPr>
        <w:t> </w:t>
      </w:r>
    </w:p>
    <w:p>
      <w:pPr>
        <w:pStyle w:val="Normal"/>
        <w:spacing w:beforeAutospacing="1" w:afterAutospacing="1"/>
        <w:ind w:left="420" w:hanging="360"/>
        <w:contextualSpacing/>
        <w:jc w:val="both"/>
        <w:rPr>
          <w:rFonts w:ascii="Calibri" w:hAnsi="Calibri" w:eastAsia="Times New Roman"/>
          <w:color w:val="000000" w:themeColor="text1"/>
          <w:szCs w:val="24"/>
        </w:rPr>
      </w:pPr>
      <w:r>
        <w:rPr>
          <w:rFonts w:eastAsia="Calibri" w:cs="Calibri" w:ascii="Calibri" w:hAnsi="Calibri"/>
          <w:color w:val="000000" w:themeColor="text1"/>
          <w:szCs w:val="24"/>
        </w:rPr>
        <w:t>-</w:t>
      </w:r>
      <w:r>
        <w:rPr>
          <w:rFonts w:eastAsia="Calibri" w:ascii="Calibri" w:hAnsi="Calibri"/>
          <w:color w:val="000000" w:themeColor="text1"/>
          <w:sz w:val="14"/>
          <w:szCs w:val="14"/>
        </w:rPr>
        <w:t xml:space="preserve">          </w:t>
      </w:r>
      <w:r>
        <w:rPr>
          <w:rFonts w:eastAsia="Times New Roman" w:ascii="Calibri" w:hAnsi="Calibri"/>
          <w:color w:val="000000" w:themeColor="text1"/>
          <w:szCs w:val="24"/>
        </w:rPr>
        <w:t>une décharge totale de 32 HTD la seconde année,</w:t>
      </w:r>
      <w:r>
        <w:rPr>
          <w:rFonts w:eastAsia="Times New Roman" w:ascii="Calibri" w:hAnsi="Calibri"/>
          <w:b/>
          <w:color w:val="000000" w:themeColor="text1"/>
          <w:szCs w:val="24"/>
        </w:rPr>
        <w:t xml:space="preserve"> </w:t>
      </w:r>
      <w:r>
        <w:rPr>
          <w:rFonts w:eastAsia="Times New Roman" w:ascii="Calibri" w:hAnsi="Calibri"/>
          <w:color w:val="000000" w:themeColor="text1"/>
          <w:szCs w:val="24"/>
        </w:rPr>
        <w:t xml:space="preserve">sur demande de l’intéressé.e et après avis du/de la directeur.ice de laboratoire puis avis du Conseil Académique. </w:t>
      </w:r>
    </w:p>
    <w:p>
      <w:pPr>
        <w:pStyle w:val="Normal"/>
        <w:spacing w:beforeAutospacing="1" w:afterAutospacing="1"/>
        <w:ind w:left="420" w:hanging="360"/>
        <w:contextualSpacing/>
        <w:jc w:val="both"/>
        <w:rPr>
          <w:rFonts w:ascii="Calibri" w:hAnsi="Calibri" w:eastAsia="Times New Roman"/>
          <w:color w:val="000000" w:themeColor="text1"/>
          <w:szCs w:val="24"/>
        </w:rPr>
      </w:pPr>
      <w:r>
        <w:rPr>
          <w:rFonts w:eastAsia="Times New Roman" w:ascii="Calibri" w:hAnsi="Calibri"/>
          <w:color w:val="000000" w:themeColor="text1"/>
          <w:szCs w:val="24"/>
        </w:rPr>
      </w:r>
    </w:p>
    <w:p>
      <w:pPr>
        <w:pStyle w:val="Normal"/>
        <w:spacing w:beforeAutospacing="1" w:afterAutospacing="1"/>
        <w:jc w:val="both"/>
        <w:rPr>
          <w:rFonts w:ascii="Calibri" w:hAnsi="Calibri" w:eastAsia="Times New Roman"/>
          <w:color w:val="000000" w:themeColor="text1"/>
          <w:szCs w:val="24"/>
        </w:rPr>
      </w:pPr>
      <w:r>
        <w:rPr>
          <w:rFonts w:eastAsia="Times New Roman" w:ascii="Calibri" w:hAnsi="Calibri"/>
          <w:color w:val="000000" w:themeColor="text1"/>
          <w:szCs w:val="24"/>
        </w:rPr>
        <w:t xml:space="preserve">Ces possibilités sont ouvertes aux seuls maîtres de conférences nouvellement nommés (hors mutation). </w:t>
      </w:r>
    </w:p>
    <w:p>
      <w:pPr>
        <w:pStyle w:val="Normal"/>
        <w:rPr/>
      </w:pPr>
      <w:r>
        <w:rPr/>
      </w:r>
    </w:p>
    <w:sectPr>
      <w:type w:val="nextPage"/>
      <w:pgSz w:w="11906" w:h="16838"/>
      <w:pgMar w:left="1417" w:right="1417" w:header="0" w:top="851" w:footer="0" w:bottom="9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Trebuchet MS">
    <w:charset w:val="01"/>
    <w:family w:val="roman"/>
    <w:pitch w:val="variable"/>
  </w:font>
  <w:font w:name="Arial">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113" w:hanging="360"/>
      </w:pPr>
      <w:rPr>
        <w:rFonts w:ascii="Arial" w:hAnsi="Arial" w:cs="Arial" w:hint="default"/>
        <w:b/>
        <w:rFonts w:cs="Arial"/>
      </w:rPr>
    </w:lvl>
    <w:lvl w:ilvl="1">
      <w:start w:val="1"/>
      <w:numFmt w:val="bullet"/>
      <w:lvlText w:val="o"/>
      <w:lvlJc w:val="left"/>
      <w:pPr>
        <w:ind w:left="1833" w:hanging="360"/>
      </w:pPr>
      <w:rPr>
        <w:rFonts w:ascii="Courier New" w:hAnsi="Courier New" w:cs="Courier New" w:hint="default"/>
        <w:rFonts w:cs="Courier New"/>
      </w:rPr>
    </w:lvl>
    <w:lvl w:ilvl="2">
      <w:start w:val="1"/>
      <w:numFmt w:val="bullet"/>
      <w:lvlText w:val=""/>
      <w:lvlJc w:val="left"/>
      <w:pPr>
        <w:ind w:left="2553" w:hanging="360"/>
      </w:pPr>
      <w:rPr>
        <w:rFonts w:ascii="Wingdings" w:hAnsi="Wingdings" w:cs="Wingdings" w:hint="default"/>
        <w:rFonts w:cs="Wingdings"/>
      </w:rPr>
    </w:lvl>
    <w:lvl w:ilvl="3">
      <w:start w:val="1"/>
      <w:numFmt w:val="bullet"/>
      <w:lvlText w:val=""/>
      <w:lvlJc w:val="left"/>
      <w:pPr>
        <w:ind w:left="3273" w:hanging="360"/>
      </w:pPr>
      <w:rPr>
        <w:rFonts w:ascii="Symbol" w:hAnsi="Symbol" w:cs="Symbol" w:hint="default"/>
        <w:rFonts w:cs="Symbol"/>
      </w:rPr>
    </w:lvl>
    <w:lvl w:ilvl="4">
      <w:start w:val="1"/>
      <w:numFmt w:val="bullet"/>
      <w:lvlText w:val="o"/>
      <w:lvlJc w:val="left"/>
      <w:pPr>
        <w:ind w:left="3993" w:hanging="360"/>
      </w:pPr>
      <w:rPr>
        <w:rFonts w:ascii="Courier New" w:hAnsi="Courier New" w:cs="Courier New" w:hint="default"/>
        <w:rFonts w:cs="Courier New"/>
      </w:rPr>
    </w:lvl>
    <w:lvl w:ilvl="5">
      <w:start w:val="1"/>
      <w:numFmt w:val="bullet"/>
      <w:lvlText w:val=""/>
      <w:lvlJc w:val="left"/>
      <w:pPr>
        <w:ind w:left="4713" w:hanging="360"/>
      </w:pPr>
      <w:rPr>
        <w:rFonts w:ascii="Wingdings" w:hAnsi="Wingdings" w:cs="Wingdings" w:hint="default"/>
        <w:rFonts w:cs="Wingdings"/>
      </w:rPr>
    </w:lvl>
    <w:lvl w:ilvl="6">
      <w:start w:val="1"/>
      <w:numFmt w:val="bullet"/>
      <w:lvlText w:val=""/>
      <w:lvlJc w:val="left"/>
      <w:pPr>
        <w:ind w:left="5433" w:hanging="360"/>
      </w:pPr>
      <w:rPr>
        <w:rFonts w:ascii="Symbol" w:hAnsi="Symbol" w:cs="Symbol" w:hint="default"/>
        <w:rFonts w:cs="Symbol"/>
      </w:rPr>
    </w:lvl>
    <w:lvl w:ilvl="7">
      <w:start w:val="1"/>
      <w:numFmt w:val="bullet"/>
      <w:lvlText w:val="o"/>
      <w:lvlJc w:val="left"/>
      <w:pPr>
        <w:ind w:left="6153" w:hanging="360"/>
      </w:pPr>
      <w:rPr>
        <w:rFonts w:ascii="Courier New" w:hAnsi="Courier New" w:cs="Courier New" w:hint="default"/>
        <w:rFonts w:cs="Courier New"/>
      </w:rPr>
    </w:lvl>
    <w:lvl w:ilvl="8">
      <w:start w:val="1"/>
      <w:numFmt w:val="bullet"/>
      <w:lvlText w:val=""/>
      <w:lvlJc w:val="left"/>
      <w:pPr>
        <w:ind w:left="6873"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fr-FR" w:eastAsia="fr-F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3414"/>
    <w:pPr>
      <w:widowControl/>
      <w:bidi w:val="0"/>
      <w:jc w:val="left"/>
    </w:pPr>
    <w:rPr>
      <w:rFonts w:ascii="Times New Roman" w:hAnsi="Times New Roman" w:eastAsia="MS Mincho" w:cs="Times New Roman"/>
      <w:color w:val="auto"/>
      <w:kern w:val="0"/>
      <w:sz w:val="24"/>
      <w:szCs w:val="20"/>
      <w:lang w:val="fr-FR" w:eastAsia="fr-FR" w:bidi="ar-SA"/>
    </w:rPr>
  </w:style>
  <w:style w:type="character" w:styleId="DefaultParagraphFont" w:default="1">
    <w:name w:val="Default Paragraph Font"/>
    <w:uiPriority w:val="1"/>
    <w:semiHidden/>
    <w:unhideWhenUsed/>
    <w:qFormat/>
    <w:rPr/>
  </w:style>
  <w:style w:type="character" w:styleId="LienInternet">
    <w:name w:val="Lien Internet"/>
    <w:basedOn w:val="DefaultParagraphFont"/>
    <w:uiPriority w:val="99"/>
    <w:unhideWhenUsed/>
    <w:rsid w:val="00aa3414"/>
    <w:rPr>
      <w:rFonts w:cs="Times New Roman"/>
      <w:color w:val="0000FF"/>
      <w:u w:val="single"/>
    </w:rPr>
  </w:style>
  <w:style w:type="character" w:styleId="Annotationreference">
    <w:name w:val="annotation reference"/>
    <w:basedOn w:val="DefaultParagraphFont"/>
    <w:uiPriority w:val="99"/>
    <w:semiHidden/>
    <w:unhideWhenUsed/>
    <w:qFormat/>
    <w:rsid w:val="008371c0"/>
    <w:rPr>
      <w:rFonts w:cs="Times New Roman"/>
      <w:sz w:val="16"/>
    </w:rPr>
  </w:style>
  <w:style w:type="character" w:styleId="CommentaireCar" w:customStyle="1">
    <w:name w:val="Commentaire Car"/>
    <w:basedOn w:val="DefaultParagraphFont"/>
    <w:link w:val="Commentaire"/>
    <w:uiPriority w:val="99"/>
    <w:semiHidden/>
    <w:qFormat/>
    <w:locked/>
    <w:rsid w:val="008371c0"/>
    <w:rPr>
      <w:rFonts w:ascii="Times New Roman" w:hAnsi="Times New Roman" w:cs="Times New Roman"/>
      <w:lang w:eastAsia="fr-FR"/>
    </w:rPr>
  </w:style>
  <w:style w:type="character" w:styleId="ObjetducommentaireCar" w:customStyle="1">
    <w:name w:val="Objet du commentaire Car"/>
    <w:basedOn w:val="CommentaireCar"/>
    <w:link w:val="Objetducommentaire"/>
    <w:uiPriority w:val="99"/>
    <w:semiHidden/>
    <w:qFormat/>
    <w:locked/>
    <w:rsid w:val="008371c0"/>
    <w:rPr>
      <w:rFonts w:ascii="Times New Roman" w:hAnsi="Times New Roman" w:cs="Times New Roman"/>
      <w:b/>
      <w:lang w:eastAsia="fr-FR"/>
    </w:rPr>
  </w:style>
  <w:style w:type="character" w:styleId="TextedebullesCar" w:customStyle="1">
    <w:name w:val="Texte de bulles Car"/>
    <w:basedOn w:val="DefaultParagraphFont"/>
    <w:link w:val="Textedebulles"/>
    <w:uiPriority w:val="99"/>
    <w:semiHidden/>
    <w:qFormat/>
    <w:locked/>
    <w:rsid w:val="008371c0"/>
    <w:rPr>
      <w:rFonts w:ascii="Tahoma" w:hAnsi="Tahoma" w:cs="Times New Roman"/>
      <w:sz w:val="16"/>
      <w:lang w:eastAsia="fr-FR"/>
    </w:rPr>
  </w:style>
  <w:style w:type="character" w:styleId="ListLabel1">
    <w:name w:val="ListLabel 1"/>
    <w:qFormat/>
    <w:rPr>
      <w:rFonts w:ascii="Calibri" w:hAnsi="Calibri" w:eastAsia="Times New Roman"/>
      <w:b/>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Calibri" w:hAnsi="Calibri" w:cs="Arial"/>
      <w:b/>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23">
    <w:name w:val="ListLabel 23"/>
    <w:qFormat/>
    <w:rPr>
      <w:rFonts w:ascii="Calibri" w:hAnsi="Calibri" w:cs="Arial"/>
      <w:b w:val="false"/>
      <w:bCs w:val="false"/>
      <w:szCs w:val="24"/>
    </w:rPr>
  </w:style>
  <w:style w:type="character" w:styleId="ListLabel24">
    <w:name w:val="ListLabel 24"/>
    <w:qFormat/>
    <w:rPr>
      <w:rFonts w:cs="Arial"/>
      <w:b/>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rFonts w:cs="Symbol"/>
    </w:rPr>
  </w:style>
  <w:style w:type="character" w:styleId="ListLabel31">
    <w:name w:val="ListLabel 31"/>
    <w:qFormat/>
    <w:rPr>
      <w:rFonts w:cs="Courier New"/>
    </w:rPr>
  </w:style>
  <w:style w:type="character" w:styleId="ListLabel32">
    <w:name w:val="ListLabel 32"/>
    <w:qFormat/>
    <w:rPr>
      <w:rFonts w:cs="Wingdings"/>
    </w:rPr>
  </w:style>
  <w:style w:type="character" w:styleId="ListLabel33">
    <w:name w:val="ListLabel 33"/>
    <w:qFormat/>
    <w:rPr>
      <w:rFonts w:ascii="Calibri" w:hAnsi="Calibri" w:cs="Arial"/>
      <w:b w:val="false"/>
      <w:bCs w:val="false"/>
      <w:szCs w:val="24"/>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uiPriority w:val="34"/>
    <w:qFormat/>
    <w:rsid w:val="008371c0"/>
    <w:pPr>
      <w:spacing w:before="0" w:after="0"/>
      <w:ind w:left="720" w:hanging="0"/>
      <w:contextualSpacing/>
    </w:pPr>
    <w:rPr/>
  </w:style>
  <w:style w:type="paragraph" w:styleId="Annotationtext">
    <w:name w:val="annotation text"/>
    <w:basedOn w:val="Normal"/>
    <w:link w:val="CommentaireCar"/>
    <w:uiPriority w:val="99"/>
    <w:semiHidden/>
    <w:unhideWhenUsed/>
    <w:qFormat/>
    <w:rsid w:val="008371c0"/>
    <w:pPr/>
    <w:rPr>
      <w:sz w:val="20"/>
    </w:rPr>
  </w:style>
  <w:style w:type="paragraph" w:styleId="Annotationsubject">
    <w:name w:val="annotation subject"/>
    <w:basedOn w:val="Annotationtext"/>
    <w:link w:val="ObjetducommentaireCar"/>
    <w:uiPriority w:val="99"/>
    <w:semiHidden/>
    <w:unhideWhenUsed/>
    <w:qFormat/>
    <w:rsid w:val="008371c0"/>
    <w:pPr/>
    <w:rPr>
      <w:b/>
      <w:bCs/>
    </w:rPr>
  </w:style>
  <w:style w:type="paragraph" w:styleId="BalloonText">
    <w:name w:val="Balloon Text"/>
    <w:basedOn w:val="Normal"/>
    <w:link w:val="TextedebullesCar"/>
    <w:uiPriority w:val="99"/>
    <w:semiHidden/>
    <w:unhideWhenUsed/>
    <w:qFormat/>
    <w:rsid w:val="008371c0"/>
    <w:pPr/>
    <w:rPr>
      <w:rFonts w:ascii="Tahoma" w:hAnsi="Tahoma"/>
      <w:sz w:val="16"/>
      <w:szCs w:val="16"/>
    </w:rPr>
  </w:style>
  <w:style w:type="paragraph" w:styleId="NormalWeb">
    <w:name w:val="Normal (Web)"/>
    <w:basedOn w:val="Normal"/>
    <w:uiPriority w:val="99"/>
    <w:unhideWhenUsed/>
    <w:qFormat/>
    <w:rsid w:val="00a80f1e"/>
    <w:pPr>
      <w:spacing w:beforeAutospacing="1" w:afterAutospacing="1"/>
    </w:pPr>
    <w:rPr>
      <w:rFonts w:eastAsia="宋体" w:eastAsiaTheme="minorEastAsia"/>
      <w:sz w:val="20"/>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dpoisson.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LibreOffice/6.0.7.3$Linux_X86_64 LibreOffice_project/00m0$Build-3</Application>
  <Pages>3</Pages>
  <Words>694</Words>
  <Characters>4176</Characters>
  <CharactersWithSpaces>4857</CharactersWithSpaces>
  <Paragraphs>48</Paragraphs>
  <Company>UFR DEG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2019-10-03T14:37:00Z</dcterms:created>
  <dc:creator>aline.cheynet-de-bea</dc:creator>
  <dc:description/>
  <dc:language>fr-FR</dc:language>
  <cp:lastModifiedBy/>
  <cp:lastPrinted>2019-10-03T12:10:00Z</cp:lastPrinted>
  <dcterms:modified xsi:type="dcterms:W3CDTF">2020-01-21T11:44:16Z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UFR DEG</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